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A2" w:rsidRPr="00E33635" w:rsidRDefault="00913AA2" w:rsidP="00913AA2">
      <w:pPr>
        <w:rPr>
          <w:b/>
        </w:rPr>
      </w:pPr>
      <w:r w:rsidRPr="00E33635">
        <w:rPr>
          <w:b/>
        </w:rPr>
        <w:t>Results of the Barrier Analysis Studies and Suggested Behavior Change Activities</w:t>
      </w:r>
    </w:p>
    <w:tbl>
      <w:tblPr>
        <w:tblW w:w="13245" w:type="dxa"/>
        <w:jc w:val="center"/>
        <w:tblBorders>
          <w:bottom w:val="single" w:sz="4" w:space="0" w:color="1B356F"/>
          <w:insideH w:val="single" w:sz="4" w:space="0" w:color="1B356F"/>
          <w:insideV w:val="single" w:sz="4" w:space="0" w:color="1B356F"/>
        </w:tblBorders>
        <w:tblLayout w:type="fixed"/>
        <w:tblLook w:val="04A0" w:firstRow="1" w:lastRow="0" w:firstColumn="1" w:lastColumn="0" w:noHBand="0" w:noVBand="1"/>
      </w:tblPr>
      <w:tblGrid>
        <w:gridCol w:w="1492"/>
        <w:gridCol w:w="3420"/>
        <w:gridCol w:w="1997"/>
        <w:gridCol w:w="2811"/>
        <w:gridCol w:w="3525"/>
      </w:tblGrid>
      <w:tr w:rsidR="00913AA2" w:rsidRPr="00E33635" w:rsidTr="00965987">
        <w:trPr>
          <w:trHeight w:val="632"/>
          <w:tblHeader/>
          <w:jc w:val="center"/>
        </w:trPr>
        <w:tc>
          <w:tcPr>
            <w:tcW w:w="1492" w:type="dxa"/>
            <w:tcBorders>
              <w:top w:val="nil"/>
              <w:left w:val="nil"/>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Behavior</w:t>
            </w:r>
          </w:p>
        </w:tc>
        <w:tc>
          <w:tcPr>
            <w:tcW w:w="3420"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rPr>
            </w:pPr>
            <w:r w:rsidRPr="00E33635">
              <w:rPr>
                <w:rFonts w:asciiTheme="minorHAnsi" w:eastAsiaTheme="minorEastAsia" w:hAnsiTheme="minorHAnsi" w:cs="Comic Sans MS"/>
                <w:b/>
                <w:bCs/>
                <w:color w:val="FFFFFF" w:themeColor="background1"/>
              </w:rPr>
              <w:t>Priority Group or Influencing Groups</w:t>
            </w:r>
          </w:p>
        </w:tc>
        <w:tc>
          <w:tcPr>
            <w:tcW w:w="1997"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Determinants</w:t>
            </w:r>
          </w:p>
        </w:tc>
        <w:tc>
          <w:tcPr>
            <w:tcW w:w="2811"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Bridges To Activities</w:t>
            </w:r>
          </w:p>
        </w:tc>
        <w:tc>
          <w:tcPr>
            <w:tcW w:w="3525" w:type="dxa"/>
            <w:tcBorders>
              <w:top w:val="nil"/>
              <w:left w:val="single" w:sz="4" w:space="0" w:color="FFFFFF" w:themeColor="background1"/>
              <w:bottom w:val="single" w:sz="4" w:space="0" w:color="1B356F"/>
              <w:right w:val="nil"/>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Activities</w:t>
            </w:r>
          </w:p>
        </w:tc>
      </w:tr>
      <w:tr w:rsidR="00913AA2" w:rsidRPr="00E33635" w:rsidTr="00965987">
        <w:trPr>
          <w:trHeight w:val="179"/>
          <w:jc w:val="center"/>
        </w:trPr>
        <w:tc>
          <w:tcPr>
            <w:tcW w:w="1492" w:type="dxa"/>
            <w:tcBorders>
              <w:top w:val="single" w:sz="4" w:space="0" w:color="1B356F"/>
              <w:left w:val="nil"/>
              <w:bottom w:val="single" w:sz="4" w:space="0" w:color="1B356F"/>
              <w:right w:val="single" w:sz="4" w:space="0" w:color="1B356F"/>
            </w:tcBorders>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r w:rsidRPr="00E33635">
              <w:rPr>
                <w:rFonts w:asciiTheme="minorHAnsi" w:eastAsiaTheme="minorEastAsia" w:hAnsiTheme="minorHAnsi" w:cs="Comic Sans MS"/>
                <w:bCs/>
              </w:rPr>
              <w:t xml:space="preserve">Mothers of children </w:t>
            </w:r>
            <w:bookmarkStart w:id="0" w:name="_GoBack"/>
            <w:bookmarkEnd w:id="0"/>
            <w:r w:rsidRPr="00E33635">
              <w:rPr>
                <w:rFonts w:asciiTheme="minorHAnsi" w:eastAsiaTheme="minorEastAsia" w:hAnsiTheme="minorHAnsi" w:cs="Comic Sans MS"/>
                <w:bCs/>
              </w:rPr>
              <w:t>6 – 23 months feed them foods each day from the four food groups</w:t>
            </w:r>
          </w:p>
        </w:tc>
        <w:tc>
          <w:tcPr>
            <w:tcW w:w="3420" w:type="dxa"/>
            <w:tcBorders>
              <w:top w:val="single" w:sz="4" w:space="0" w:color="1B356F"/>
              <w:left w:val="single" w:sz="4" w:space="0" w:color="1B356F"/>
              <w:bottom w:val="single" w:sz="4" w:space="0" w:color="1B356F"/>
              <w:right w:val="single" w:sz="4" w:space="0" w:color="1B356F"/>
            </w:tcBorders>
          </w:tcPr>
          <w:p w:rsidR="00913AA2" w:rsidRPr="00E33635" w:rsidRDefault="00913AA2" w:rsidP="00965987">
            <w:pPr>
              <w:widowControl w:val="0"/>
              <w:autoSpaceDE w:val="0"/>
              <w:autoSpaceDN w:val="0"/>
              <w:adjustRightInd w:val="0"/>
              <w:spacing w:before="40" w:after="40" w:line="252" w:lineRule="auto"/>
              <w:rPr>
                <w:rFonts w:asciiTheme="minorHAnsi" w:eastAsia="Calibri" w:hAnsiTheme="minorHAnsi" w:cs="Comic Sans MS"/>
                <w:bCs/>
              </w:rPr>
            </w:pPr>
            <w:r>
              <w:rPr>
                <w:rFonts w:asciiTheme="minorHAnsi" w:eastAsia="Calibri" w:hAnsiTheme="minorHAnsi" w:cs="Comic Sans MS"/>
                <w:bCs/>
              </w:rPr>
              <w:t>*see annex 5 for complete Priority Group Description</w:t>
            </w:r>
          </w:p>
          <w:p w:rsidR="00913AA2"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Demographics: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Daily Routine:</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Big Desires: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Known Barriers to the behavior:</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Current feelings/practices:</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Gender Issues: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Stage of Change: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p>
        </w:tc>
        <w:tc>
          <w:tcPr>
            <w:tcW w:w="1997" w:type="dxa"/>
            <w:tcBorders>
              <w:top w:val="single" w:sz="4" w:space="0" w:color="1B356F"/>
              <w:left w:val="single" w:sz="4" w:space="0" w:color="1B356F"/>
              <w:bottom w:val="single" w:sz="4" w:space="0" w:color="1B356F"/>
              <w:right w:val="single" w:sz="4" w:space="0" w:color="1B356F"/>
            </w:tcBorders>
          </w:tcPr>
          <w:p w:rsidR="00913AA2" w:rsidRPr="00E33635" w:rsidRDefault="00913AA2" w:rsidP="00965987">
            <w:pPr>
              <w:spacing w:before="40" w:after="40" w:line="252" w:lineRule="auto"/>
              <w:rPr>
                <w:rFonts w:asciiTheme="minorHAnsi" w:hAnsiTheme="minorHAnsi" w:cs="Times New Roman"/>
                <w:u w:val="single"/>
              </w:rPr>
            </w:pPr>
            <w:r w:rsidRPr="00E33635">
              <w:rPr>
                <w:rFonts w:asciiTheme="minorHAnsi" w:hAnsiTheme="minorHAnsi" w:cs="Times New Roman"/>
                <w:u w:val="single"/>
              </w:rPr>
              <w:t>1.Self- efficacy</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u w:val="single"/>
              </w:rPr>
              <w:t>Access</w:t>
            </w:r>
            <w:r w:rsidRPr="00E33635">
              <w:rPr>
                <w:rFonts w:asciiTheme="minorHAnsi" w:hAnsiTheme="minorHAnsi" w:cs="Times New Roman"/>
              </w:rPr>
              <w:t xml:space="preserve">: </w:t>
            </w:r>
          </w:p>
          <w:p w:rsidR="00913AA2" w:rsidRPr="00E33635" w:rsidRDefault="00913AA2" w:rsidP="00913AA2">
            <w:pPr>
              <w:numPr>
                <w:ilvl w:val="0"/>
                <w:numId w:val="1"/>
              </w:numPr>
              <w:spacing w:before="40" w:after="40" w:line="252" w:lineRule="auto"/>
              <w:ind w:left="110" w:hanging="180"/>
              <w:rPr>
                <w:rFonts w:asciiTheme="minorHAnsi" w:hAnsiTheme="minorHAnsi" w:cs="Times New Roman"/>
              </w:rPr>
            </w:pPr>
            <w:r w:rsidRPr="00E33635">
              <w:rPr>
                <w:rFonts w:asciiTheme="minorHAnsi" w:hAnsiTheme="minorHAnsi" w:cs="Times New Roman"/>
              </w:rPr>
              <w:t xml:space="preserve"> It’s easy to grow food</w:t>
            </w:r>
          </w:p>
          <w:p w:rsidR="00913AA2" w:rsidRPr="00E33635" w:rsidRDefault="00913AA2" w:rsidP="00913AA2">
            <w:pPr>
              <w:numPr>
                <w:ilvl w:val="0"/>
                <w:numId w:val="1"/>
              </w:numPr>
              <w:spacing w:before="40" w:after="40" w:line="252" w:lineRule="auto"/>
              <w:ind w:left="200" w:hanging="270"/>
              <w:rPr>
                <w:rFonts w:asciiTheme="minorHAnsi" w:hAnsiTheme="minorHAnsi" w:cs="Times New Roman"/>
              </w:rPr>
            </w:pPr>
            <w:r w:rsidRPr="00E33635">
              <w:rPr>
                <w:rFonts w:asciiTheme="minorHAnsi" w:hAnsiTheme="minorHAnsi" w:cs="Times New Roman"/>
              </w:rPr>
              <w:t>Difficult access to market/ places to buy foods</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c. Need money to buy different foods</w:t>
            </w:r>
          </w:p>
          <w:p w:rsidR="00913AA2" w:rsidRPr="00E33635" w:rsidRDefault="00913AA2" w:rsidP="00965987">
            <w:pPr>
              <w:spacing w:before="40" w:after="40" w:line="252" w:lineRule="auto"/>
              <w:rPr>
                <w:rFonts w:asciiTheme="minorHAnsi" w:hAnsiTheme="minorHAnsi" w:cs="Times New Roman"/>
              </w:rPr>
            </w:pP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2.</w:t>
            </w:r>
            <w:r w:rsidRPr="00E33635">
              <w:rPr>
                <w:rFonts w:asciiTheme="minorHAnsi" w:hAnsiTheme="minorHAnsi" w:cs="Times New Roman"/>
                <w:u w:val="single"/>
              </w:rPr>
              <w:t>Cue for Action</w:t>
            </w:r>
            <w:r w:rsidRPr="00E33635">
              <w:rPr>
                <w:rFonts w:asciiTheme="minorHAnsi" w:hAnsiTheme="minorHAnsi" w:cs="Times New Roman"/>
              </w:rPr>
              <w:t>:</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Can’t remember to prepare meals with  four food groups</w:t>
            </w:r>
          </w:p>
          <w:p w:rsidR="00913AA2" w:rsidRPr="00E33635" w:rsidRDefault="00913AA2" w:rsidP="00965987">
            <w:pPr>
              <w:spacing w:before="40" w:after="40" w:line="252" w:lineRule="auto"/>
              <w:rPr>
                <w:rFonts w:asciiTheme="minorHAnsi" w:hAnsiTheme="minorHAnsi" w:cs="Times New Roman"/>
              </w:rPr>
            </w:pPr>
          </w:p>
          <w:p w:rsidR="00913AA2"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3.</w:t>
            </w:r>
            <w:r>
              <w:rPr>
                <w:rFonts w:asciiTheme="minorHAnsi" w:hAnsiTheme="minorHAnsi" w:cs="Times New Roman"/>
              </w:rPr>
              <w:t xml:space="preserve"> </w:t>
            </w:r>
            <w:r w:rsidRPr="000072A4">
              <w:rPr>
                <w:rFonts w:asciiTheme="minorHAnsi" w:hAnsiTheme="minorHAnsi" w:cs="Times New Roman"/>
                <w:u w:val="single"/>
              </w:rPr>
              <w:t>Risk</w:t>
            </w:r>
          </w:p>
          <w:p w:rsidR="00913AA2" w:rsidRDefault="00913AA2" w:rsidP="00965987">
            <w:pPr>
              <w:spacing w:before="40" w:after="40" w:line="252" w:lineRule="auto"/>
              <w:rPr>
                <w:rFonts w:asciiTheme="minorHAnsi" w:hAnsiTheme="minorHAnsi" w:cs="Times New Roman"/>
              </w:rPr>
            </w:pPr>
            <w:r>
              <w:rPr>
                <w:rFonts w:asciiTheme="minorHAnsi" w:hAnsiTheme="minorHAnsi" w:cs="Times New Roman"/>
              </w:rPr>
              <w:t>Not at risk of malnutrition</w:t>
            </w:r>
            <w:r w:rsidRPr="00E33635">
              <w:rPr>
                <w:rFonts w:asciiTheme="minorHAnsi" w:hAnsiTheme="minorHAnsi" w:cs="Times New Roman"/>
              </w:rPr>
              <w:t xml:space="preserve"> </w:t>
            </w:r>
          </w:p>
          <w:p w:rsidR="00913AA2" w:rsidRDefault="00913AA2" w:rsidP="00965987">
            <w:pPr>
              <w:spacing w:before="40" w:after="40" w:line="252" w:lineRule="auto"/>
              <w:rPr>
                <w:rFonts w:asciiTheme="minorHAnsi" w:hAnsiTheme="minorHAnsi" w:cs="Times New Roman"/>
              </w:rPr>
            </w:pPr>
          </w:p>
          <w:p w:rsidR="00913AA2" w:rsidRPr="00E33635" w:rsidRDefault="00913AA2" w:rsidP="00965987">
            <w:pPr>
              <w:spacing w:before="40" w:after="40" w:line="252" w:lineRule="auto"/>
              <w:rPr>
                <w:rFonts w:asciiTheme="minorHAnsi" w:hAnsiTheme="minorHAnsi" w:cs="Times New Roman"/>
              </w:rPr>
            </w:pPr>
            <w:r w:rsidRPr="000072A4">
              <w:rPr>
                <w:rFonts w:asciiTheme="minorHAnsi" w:hAnsiTheme="minorHAnsi" w:cs="Times New Roman"/>
              </w:rPr>
              <w:t>4.</w:t>
            </w:r>
            <w:r w:rsidRPr="00E33635">
              <w:rPr>
                <w:rFonts w:asciiTheme="minorHAnsi" w:hAnsiTheme="minorHAnsi" w:cs="Times New Roman"/>
                <w:u w:val="single"/>
              </w:rPr>
              <w:t>Severity</w:t>
            </w:r>
            <w:r w:rsidRPr="00E33635">
              <w:rPr>
                <w:rFonts w:asciiTheme="minorHAnsi" w:hAnsiTheme="minorHAnsi" w:cs="Times New Roman"/>
              </w:rPr>
              <w:t xml:space="preserve">: </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Malnutrition is a very serious condition</w:t>
            </w:r>
          </w:p>
          <w:p w:rsidR="00913AA2" w:rsidRPr="00E33635" w:rsidRDefault="00913AA2" w:rsidP="00965987">
            <w:pPr>
              <w:spacing w:before="40" w:after="40" w:line="252" w:lineRule="auto"/>
              <w:rPr>
                <w:rFonts w:asciiTheme="minorHAnsi" w:hAnsiTheme="minorHAnsi" w:cs="Times New Roman"/>
              </w:rPr>
            </w:pPr>
          </w:p>
          <w:p w:rsidR="00913AA2" w:rsidRPr="00E33635" w:rsidRDefault="00913AA2" w:rsidP="00965987">
            <w:pPr>
              <w:spacing w:before="40" w:after="40" w:line="252" w:lineRule="auto"/>
              <w:rPr>
                <w:rFonts w:asciiTheme="minorHAnsi" w:hAnsiTheme="minorHAnsi" w:cs="Times New Roman"/>
              </w:rPr>
            </w:pPr>
          </w:p>
        </w:tc>
        <w:tc>
          <w:tcPr>
            <w:tcW w:w="2811" w:type="dxa"/>
            <w:tcBorders>
              <w:top w:val="single" w:sz="4" w:space="0" w:color="1B356F"/>
              <w:left w:val="single" w:sz="4" w:space="0" w:color="1B356F"/>
              <w:bottom w:val="single" w:sz="4" w:space="0" w:color="1B356F"/>
              <w:right w:val="single" w:sz="4" w:space="0" w:color="1B356F"/>
            </w:tcBorders>
            <w:hideMark/>
          </w:tcPr>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sidRPr="00E33635">
              <w:rPr>
                <w:rFonts w:asciiTheme="minorHAnsi" w:eastAsiaTheme="minorEastAsia" w:hAnsiTheme="minorHAnsi" w:cs="Comic Sans MS"/>
                <w:bCs/>
              </w:rPr>
              <w:t>1a&amp;b.Increase  the perception that it’s easy to grow or get different kinds of foods</w:t>
            </w:r>
          </w:p>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sidRPr="00E33635">
              <w:rPr>
                <w:rFonts w:asciiTheme="minorHAnsi" w:eastAsiaTheme="minorEastAsia" w:hAnsiTheme="minorHAnsi" w:cs="Comic Sans MS"/>
                <w:bCs/>
              </w:rPr>
              <w:t>1c. Increase the perception that it doesn’t cost a lot of money to feed your baby different foods</w:t>
            </w:r>
          </w:p>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p>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sidRPr="00E33635">
              <w:rPr>
                <w:rFonts w:asciiTheme="minorHAnsi" w:eastAsiaTheme="minorEastAsia" w:hAnsiTheme="minorHAnsi" w:cs="Comic Sans MS"/>
                <w:bCs/>
              </w:rPr>
              <w:t>2. Increase the ability of mothers to remember how to prepare meals for babies that contain foods from the 4 food groups</w:t>
            </w:r>
          </w:p>
          <w:p w:rsidR="00913AA2" w:rsidRPr="00E33635" w:rsidRDefault="00913AA2" w:rsidP="00965987">
            <w:pPr>
              <w:widowControl w:val="0"/>
              <w:autoSpaceDE w:val="0"/>
              <w:autoSpaceDN w:val="0"/>
              <w:adjustRightInd w:val="0"/>
              <w:spacing w:before="40" w:after="40" w:line="252" w:lineRule="auto"/>
              <w:ind w:left="72"/>
              <w:rPr>
                <w:rFonts w:asciiTheme="minorHAnsi" w:eastAsiaTheme="minorEastAsia" w:hAnsiTheme="minorHAnsi" w:cs="Comic Sans MS"/>
                <w:bCs/>
              </w:rPr>
            </w:pPr>
          </w:p>
          <w:p w:rsidR="00913AA2"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sidRPr="00E33635">
              <w:rPr>
                <w:rFonts w:asciiTheme="minorHAnsi" w:eastAsiaTheme="minorEastAsia" w:hAnsiTheme="minorHAnsi" w:cs="Comic Sans MS"/>
                <w:bCs/>
              </w:rPr>
              <w:t xml:space="preserve">3. </w:t>
            </w:r>
            <w:r>
              <w:rPr>
                <w:rFonts w:asciiTheme="minorHAnsi" w:eastAsiaTheme="minorEastAsia" w:hAnsiTheme="minorHAnsi" w:cs="Comic Sans MS"/>
                <w:bCs/>
              </w:rPr>
              <w:t>Reinforce the perception that children who eat a variety of foods are not at risk of becoming malnourished.</w:t>
            </w:r>
          </w:p>
          <w:p w:rsidR="00913AA2"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p>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Pr>
                <w:rFonts w:asciiTheme="minorHAnsi" w:eastAsiaTheme="minorEastAsia" w:hAnsiTheme="minorHAnsi" w:cs="Comic Sans MS"/>
                <w:bCs/>
              </w:rPr>
              <w:t>4.</w:t>
            </w:r>
            <w:r w:rsidRPr="00E33635">
              <w:rPr>
                <w:rFonts w:asciiTheme="minorHAnsi" w:eastAsiaTheme="minorEastAsia" w:hAnsiTheme="minorHAnsi" w:cs="Comic Sans MS"/>
                <w:bCs/>
              </w:rPr>
              <w:t>Increase the perception that children can die from malnutrition</w:t>
            </w:r>
          </w:p>
        </w:tc>
        <w:tc>
          <w:tcPr>
            <w:tcW w:w="3525" w:type="dxa"/>
            <w:tcBorders>
              <w:top w:val="single" w:sz="4" w:space="0" w:color="1B356F"/>
              <w:left w:val="single" w:sz="4" w:space="0" w:color="1B356F"/>
              <w:bottom w:val="single" w:sz="4" w:space="0" w:color="1B356F"/>
              <w:right w:val="nil"/>
            </w:tcBorders>
            <w:hideMark/>
          </w:tcPr>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Create a module for CNC and CNF on feeding a baby meals using local ingredients from the four food groups each day.</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In the module cover points 1a, b, c and 3</w:t>
            </w:r>
            <w:r>
              <w:rPr>
                <w:rFonts w:asciiTheme="minorHAnsi" w:eastAsiaTheme="minorEastAsia" w:hAnsiTheme="minorHAnsi" w:cs="Comic Sans MS"/>
                <w:bCs/>
              </w:rPr>
              <w:t xml:space="preserve"> and 4 </w:t>
            </w:r>
            <w:r w:rsidRPr="00E33635">
              <w:rPr>
                <w:rFonts w:asciiTheme="minorHAnsi" w:eastAsiaTheme="minorEastAsia" w:hAnsiTheme="minorHAnsi" w:cs="Comic Sans MS"/>
                <w:bCs/>
              </w:rPr>
              <w:t xml:space="preserve">through a story comparing two mothers with 6 – 23 old children. </w:t>
            </w:r>
            <w:r>
              <w:rPr>
                <w:rFonts w:asciiTheme="minorHAnsi" w:eastAsiaTheme="minorEastAsia" w:hAnsiTheme="minorHAnsi" w:cs="Comic Sans MS"/>
                <w:bCs/>
              </w:rPr>
              <w:t xml:space="preserve"> </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 xml:space="preserve">Write discussion questions to generate a dialogue among the mothers to examine their own situations and abilities/desires to begin to adopt this behavior.  </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Discuss ways to overcome the barriers they face</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Encourage women to commit to take steps to try the behavior.</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Follow up with Home Visits 2 -3 weeks after the meeting/story to provide support/encourage/track behavior adoption.</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u w:val="single"/>
              </w:rPr>
            </w:pPr>
            <w:r w:rsidRPr="00E33635">
              <w:rPr>
                <w:rFonts w:asciiTheme="minorHAnsi" w:eastAsiaTheme="minorEastAsia" w:hAnsiTheme="minorHAnsi" w:cs="Comic Sans MS"/>
                <w:bCs/>
              </w:rPr>
              <w:t>2.</w:t>
            </w:r>
            <w:r w:rsidRPr="00E33635">
              <w:rPr>
                <w:rFonts w:asciiTheme="minorHAnsi" w:eastAsiaTheme="minorEastAsia" w:hAnsiTheme="minorHAnsi" w:cs="Comic Sans MS"/>
                <w:bCs/>
                <w:u w:val="single"/>
              </w:rPr>
              <w:t xml:space="preserve"> Cue for Action</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 xml:space="preserve">Create a match-the-food-to-the-food group game and during the CG meeting and during home visits play the game. </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 xml:space="preserve">Create recipes for balanced, low cost meals for different age </w:t>
            </w:r>
            <w:r w:rsidRPr="00E33635">
              <w:rPr>
                <w:rFonts w:asciiTheme="minorHAnsi" w:eastAsiaTheme="minorEastAsia" w:hAnsiTheme="minorHAnsi" w:cs="Comic Sans MS"/>
                <w:bCs/>
              </w:rPr>
              <w:lastRenderedPageBreak/>
              <w:t xml:space="preserve">babies (6-8 months; 9- 12 months and 12 – 23 months) that consist of locally available ingredients. </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Create visual aids that depict these recipes and also showing the frequency of feeds and portion size</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As part of the Care Group and Neighbor Group meetings conduct cooking demonstrations with the CNF and the Neighbor Moms.</w:t>
            </w:r>
          </w:p>
        </w:tc>
      </w:tr>
      <w:tr w:rsidR="00913AA2" w:rsidRPr="0037064B" w:rsidTr="00965987">
        <w:trPr>
          <w:trHeight w:val="179"/>
          <w:jc w:val="center"/>
        </w:trPr>
        <w:tc>
          <w:tcPr>
            <w:tcW w:w="6909" w:type="dxa"/>
            <w:gridSpan w:val="3"/>
            <w:tcBorders>
              <w:top w:val="single" w:sz="4" w:space="0" w:color="1B356F"/>
              <w:left w:val="nil"/>
              <w:bottom w:val="single" w:sz="4" w:space="0" w:color="1B356F"/>
              <w:right w:val="single" w:sz="4" w:space="0" w:color="1B356F"/>
            </w:tcBorders>
            <w:hideMark/>
          </w:tcPr>
          <w:p w:rsidR="00913AA2" w:rsidRPr="0037064B"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sz w:val="20"/>
                <w:szCs w:val="20"/>
              </w:rPr>
            </w:pPr>
            <w:r w:rsidRPr="0037064B">
              <w:rPr>
                <w:rFonts w:asciiTheme="minorHAnsi" w:eastAsiaTheme="minorEastAsia" w:hAnsiTheme="minorHAnsi" w:cs="Comic Sans MS"/>
                <w:bCs/>
                <w:sz w:val="20"/>
                <w:szCs w:val="20"/>
              </w:rPr>
              <w:lastRenderedPageBreak/>
              <w:t xml:space="preserve">Outcome Indicator: </w:t>
            </w:r>
            <w:r w:rsidRPr="0037064B">
              <w:rPr>
                <w:rFonts w:ascii="Calibri" w:eastAsiaTheme="minorEastAsia" w:hAnsi="Calibri" w:cs="Segoe UI"/>
                <w:bCs/>
                <w:color w:val="000000"/>
                <w:sz w:val="20"/>
                <w:szCs w:val="20"/>
                <w:lang w:val="en"/>
              </w:rPr>
              <w:t>Proportion of children 6-23 months provided with all 3 minimum infant a</w:t>
            </w:r>
            <w:r>
              <w:rPr>
                <w:rFonts w:ascii="Calibri" w:eastAsiaTheme="minorEastAsia" w:hAnsi="Calibri" w:cs="Segoe UI"/>
                <w:bCs/>
                <w:color w:val="000000"/>
                <w:sz w:val="20"/>
                <w:szCs w:val="20"/>
                <w:lang w:val="en"/>
              </w:rPr>
              <w:t xml:space="preserve">nd young child feeding practice. </w:t>
            </w:r>
          </w:p>
        </w:tc>
        <w:tc>
          <w:tcPr>
            <w:tcW w:w="6336" w:type="dxa"/>
            <w:gridSpan w:val="2"/>
            <w:tcBorders>
              <w:top w:val="single" w:sz="4" w:space="0" w:color="1B356F"/>
              <w:left w:val="single" w:sz="4" w:space="0" w:color="1B356F"/>
              <w:bottom w:val="single" w:sz="4" w:space="0" w:color="1B356F"/>
              <w:right w:val="nil"/>
            </w:tcBorders>
            <w:hideMark/>
          </w:tcPr>
          <w:p w:rsidR="00913AA2" w:rsidRPr="0037064B"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sz w:val="20"/>
                <w:szCs w:val="20"/>
              </w:rPr>
            </w:pPr>
            <w:r w:rsidRPr="0037064B">
              <w:rPr>
                <w:rFonts w:asciiTheme="minorHAnsi" w:eastAsiaTheme="minorEastAsia" w:hAnsiTheme="minorHAnsi" w:cs="Comic Sans MS"/>
                <w:bCs/>
                <w:sz w:val="20"/>
                <w:szCs w:val="20"/>
              </w:rPr>
              <w:t xml:space="preserve">Process Indicators: #  CG Modules developed based on formative research; # CNC trained; #CNFs trained; #meetings </w:t>
            </w:r>
          </w:p>
        </w:tc>
      </w:tr>
    </w:tbl>
    <w:p w:rsidR="00913AA2" w:rsidRPr="00E33635" w:rsidRDefault="00913AA2" w:rsidP="00913AA2">
      <w:pPr>
        <w:spacing w:after="0" w:line="252" w:lineRule="auto"/>
        <w:rPr>
          <w:rFonts w:asciiTheme="minorHAnsi" w:hAnsiTheme="minorHAnsi" w:cs="Comic Sans MS"/>
        </w:rPr>
        <w:sectPr w:rsidR="00913AA2" w:rsidRPr="00E33635" w:rsidSect="00416DE7">
          <w:pgSz w:w="15840" w:h="12240" w:orient="landscape"/>
          <w:pgMar w:top="993" w:right="1440" w:bottom="432" w:left="1440" w:header="720" w:footer="720" w:gutter="0"/>
          <w:cols w:space="720"/>
          <w:docGrid w:linePitch="326"/>
        </w:sectPr>
      </w:pPr>
    </w:p>
    <w:p w:rsidR="00814433" w:rsidRDefault="00814433" w:rsidP="00416DE7"/>
    <w:sectPr w:rsidR="00814433" w:rsidSect="00913A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FB" w:rsidRDefault="004F66FB" w:rsidP="00913AA2">
      <w:pPr>
        <w:spacing w:after="0" w:line="240" w:lineRule="auto"/>
      </w:pPr>
      <w:r>
        <w:separator/>
      </w:r>
    </w:p>
  </w:endnote>
  <w:endnote w:type="continuationSeparator" w:id="0">
    <w:p w:rsidR="004F66FB" w:rsidRDefault="004F66FB" w:rsidP="0091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FB" w:rsidRDefault="004F66FB" w:rsidP="00913AA2">
      <w:pPr>
        <w:spacing w:after="0" w:line="240" w:lineRule="auto"/>
      </w:pPr>
      <w:r>
        <w:separator/>
      </w:r>
    </w:p>
  </w:footnote>
  <w:footnote w:type="continuationSeparator" w:id="0">
    <w:p w:rsidR="004F66FB" w:rsidRDefault="004F66FB" w:rsidP="00913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236"/>
    <w:multiLevelType w:val="hybridMultilevel"/>
    <w:tmpl w:val="974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B7E8F"/>
    <w:multiLevelType w:val="hybridMultilevel"/>
    <w:tmpl w:val="37A2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F632A"/>
    <w:multiLevelType w:val="hybridMultilevel"/>
    <w:tmpl w:val="7070D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2"/>
    <w:rsid w:val="00106123"/>
    <w:rsid w:val="00416DE7"/>
    <w:rsid w:val="004F66FB"/>
    <w:rsid w:val="00763364"/>
    <w:rsid w:val="00814433"/>
    <w:rsid w:val="00913AA2"/>
    <w:rsid w:val="00BB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8179"/>
  <w15:chartTrackingRefBased/>
  <w15:docId w15:val="{7042EAEA-CE2E-4C6A-8111-30A6724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Arial"/>
        <w:bCs/>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A2"/>
    <w:rPr>
      <w:rFonts w:cs="Tahoma"/>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t,Footnote Text Char2,Footnote Text Char1 Char,Footnote Text Char Char Char1,Footnote Text Char1 Char Char Char1,Footnote Text Char1 Char1 Char,Footnote Text Char Char Char Char,f,ALTS FOOTNOTE,FN"/>
    <w:basedOn w:val="Normal"/>
    <w:link w:val="FootnoteTextChar"/>
    <w:unhideWhenUsed/>
    <w:rsid w:val="00913AA2"/>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single space Char,footnote text Char,fn Char,FOOTNOTES Char,ft Char,Footnote Text Char2 Char,Footnote Text Char1 Char Char,Footnote Text Char Char Char1 Char,Footnote Text Char1 Char Char Char1 Char,Footnote Text Char1 Char1 Char Char"/>
    <w:basedOn w:val="DefaultParagraphFont"/>
    <w:link w:val="FootnoteText"/>
    <w:rsid w:val="00913AA2"/>
    <w:rPr>
      <w:rFonts w:asciiTheme="minorHAnsi" w:eastAsiaTheme="minorEastAsia" w:hAnsiTheme="minorHAnsi" w:cstheme="minorBidi"/>
      <w:bCs w:val="0"/>
      <w:sz w:val="20"/>
    </w:rPr>
  </w:style>
  <w:style w:type="character" w:styleId="FootnoteReference">
    <w:name w:val="footnote reference"/>
    <w:aliases w:val="ftref,(NECG) Footnote Reference,Ref,de nota al pie,16 Point,Superscript 6 Point,Fußnotenzeichen DISS,fr,BVI fnr,footnote ref,Char Char Char Char Car Char"/>
    <w:basedOn w:val="DefaultParagraphFont"/>
    <w:unhideWhenUsed/>
    <w:rsid w:val="00913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Schmied Petr</cp:lastModifiedBy>
  <cp:revision>3</cp:revision>
  <dcterms:created xsi:type="dcterms:W3CDTF">2017-11-03T06:04:00Z</dcterms:created>
  <dcterms:modified xsi:type="dcterms:W3CDTF">2017-11-03T06:10:00Z</dcterms:modified>
</cp:coreProperties>
</file>